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1F3493CC" w:rsidR="00DD37AC" w:rsidRPr="00DC7102" w:rsidRDefault="00DD37AC" w:rsidP="00DD37AC">
      <w:pPr>
        <w:pStyle w:val="Header"/>
        <w:tabs>
          <w:tab w:val="right" w:pos="9072"/>
        </w:tabs>
        <w:rPr>
          <w:rFonts w:ascii="Arial" w:hAnsi="Arial" w:cs="Arial"/>
          <w:b/>
          <w:bCs/>
          <w:sz w:val="24"/>
          <w:szCs w:val="28"/>
          <w:lang w:val="en-CA"/>
        </w:rPr>
      </w:pPr>
      <w:r w:rsidRPr="00DC7102">
        <w:rPr>
          <w:rFonts w:ascii="Arial" w:hAnsi="Arial" w:cs="Arial"/>
          <w:b/>
          <w:bCs/>
          <w:sz w:val="24"/>
          <w:szCs w:val="28"/>
          <w:lang w:val="en-CA"/>
        </w:rPr>
        <w:t>3GPP TSG RAN WG4 Meeting #1</w:t>
      </w:r>
      <w:r w:rsidR="00140C88">
        <w:rPr>
          <w:rFonts w:ascii="Arial" w:hAnsi="Arial" w:cs="Arial"/>
          <w:b/>
          <w:bCs/>
          <w:sz w:val="24"/>
          <w:szCs w:val="28"/>
          <w:lang w:val="en-CA"/>
        </w:rPr>
        <w:t>10</w:t>
      </w:r>
      <w:r w:rsidRPr="00DC7102">
        <w:rPr>
          <w:rFonts w:ascii="Arial" w:hAnsi="Arial" w:cs="Arial"/>
          <w:b/>
          <w:bCs/>
          <w:sz w:val="24"/>
          <w:szCs w:val="28"/>
          <w:lang w:val="en-CA"/>
        </w:rPr>
        <w:tab/>
      </w:r>
      <w:r w:rsidR="000D4674" w:rsidRPr="000D4674">
        <w:rPr>
          <w:rFonts w:ascii="Arial" w:hAnsi="Arial" w:cs="Arial"/>
          <w:b/>
          <w:bCs/>
          <w:sz w:val="24"/>
          <w:szCs w:val="28"/>
          <w:lang w:val="en-CA"/>
        </w:rPr>
        <w:t>R4-2</w:t>
      </w:r>
      <w:r w:rsidR="0045017E">
        <w:rPr>
          <w:rFonts w:ascii="Arial" w:hAnsi="Arial" w:cs="Arial"/>
          <w:b/>
          <w:bCs/>
          <w:sz w:val="24"/>
          <w:szCs w:val="28"/>
          <w:lang w:val="en-CA"/>
        </w:rPr>
        <w:t>402843</w:t>
      </w:r>
    </w:p>
    <w:p w14:paraId="7694E290" w14:textId="31E4C82F" w:rsidR="00DD37AC" w:rsidRPr="00DC7102" w:rsidRDefault="00056855" w:rsidP="00DD37AC">
      <w:pPr>
        <w:pStyle w:val="Header"/>
        <w:tabs>
          <w:tab w:val="right" w:pos="9072"/>
        </w:tabs>
        <w:rPr>
          <w:rFonts w:ascii="Arial" w:hAnsi="Arial" w:cs="Arial"/>
          <w:b/>
          <w:bCs/>
          <w:sz w:val="24"/>
          <w:szCs w:val="28"/>
          <w:lang w:val="en-CA"/>
        </w:rPr>
      </w:pPr>
      <w:bookmarkStart w:id="0" w:name="_Hlk488924106"/>
      <w:bookmarkEnd w:id="0"/>
      <w:r>
        <w:rPr>
          <w:rFonts w:ascii="Arial" w:hAnsi="Arial" w:cs="Arial"/>
          <w:b/>
          <w:bCs/>
          <w:sz w:val="24"/>
          <w:szCs w:val="28"/>
          <w:lang w:val="en-CA"/>
        </w:rPr>
        <w:t>Athens</w:t>
      </w:r>
      <w:r w:rsidRPr="00DC7102">
        <w:rPr>
          <w:rFonts w:ascii="Arial" w:hAnsi="Arial" w:cs="Arial"/>
          <w:b/>
          <w:bCs/>
          <w:sz w:val="24"/>
          <w:szCs w:val="28"/>
          <w:lang w:val="en-CA"/>
        </w:rPr>
        <w:t xml:space="preserve">, </w:t>
      </w:r>
      <w:r w:rsidR="00140C88">
        <w:rPr>
          <w:rFonts w:ascii="Arial" w:hAnsi="Arial" w:cs="Arial"/>
          <w:b/>
          <w:bCs/>
          <w:sz w:val="24"/>
          <w:szCs w:val="28"/>
          <w:lang w:val="en-CA"/>
        </w:rPr>
        <w:t>Greece</w:t>
      </w:r>
      <w:r w:rsidR="00DD37AC" w:rsidRPr="00DC7102">
        <w:rPr>
          <w:rFonts w:ascii="Arial" w:hAnsi="Arial" w:cs="Arial"/>
          <w:b/>
          <w:bCs/>
          <w:sz w:val="24"/>
          <w:szCs w:val="28"/>
          <w:lang w:val="en-CA"/>
        </w:rPr>
        <w:t xml:space="preserve">, </w:t>
      </w:r>
      <w:r w:rsidR="00140C88">
        <w:rPr>
          <w:rFonts w:ascii="Arial" w:hAnsi="Arial" w:cs="Arial"/>
          <w:b/>
          <w:bCs/>
          <w:sz w:val="24"/>
          <w:szCs w:val="28"/>
          <w:lang w:val="en-CA"/>
        </w:rPr>
        <w:t>26 Feb. 2024</w:t>
      </w:r>
      <w:r w:rsidR="00DD37AC" w:rsidRPr="00DC7102">
        <w:rPr>
          <w:rFonts w:ascii="Arial" w:hAnsi="Arial" w:cs="Arial"/>
          <w:b/>
          <w:bCs/>
          <w:sz w:val="24"/>
          <w:szCs w:val="28"/>
          <w:lang w:val="en-CA"/>
        </w:rPr>
        <w:t xml:space="preserve"> – </w:t>
      </w:r>
      <w:r w:rsidR="00140C88">
        <w:rPr>
          <w:rFonts w:ascii="Arial" w:hAnsi="Arial" w:cs="Arial"/>
          <w:b/>
          <w:bCs/>
          <w:sz w:val="24"/>
          <w:szCs w:val="28"/>
          <w:lang w:val="en-CA"/>
        </w:rPr>
        <w:t>01 Mar. 2024</w:t>
      </w:r>
    </w:p>
    <w:p w14:paraId="48C4AD51" w14:textId="4AA7DC0A" w:rsidR="00DD37AC" w:rsidRPr="00DC7102" w:rsidRDefault="00DD37AC" w:rsidP="00DD37AC">
      <w:pPr>
        <w:tabs>
          <w:tab w:val="left" w:pos="1985"/>
        </w:tabs>
        <w:spacing w:before="240" w:after="0"/>
        <w:jc w:val="both"/>
        <w:rPr>
          <w:rFonts w:ascii="Arial" w:hAnsi="Arial" w:cs="Arial"/>
          <w:bCs/>
          <w:sz w:val="22"/>
          <w:szCs w:val="22"/>
        </w:rPr>
      </w:pPr>
      <w:r w:rsidRPr="00DC7102">
        <w:rPr>
          <w:rFonts w:ascii="Arial" w:hAnsi="Arial" w:cs="Arial"/>
          <w:b/>
          <w:sz w:val="22"/>
          <w:szCs w:val="22"/>
        </w:rPr>
        <w:t>Agenda Item:</w:t>
      </w:r>
      <w:r w:rsidRPr="00DC7102">
        <w:rPr>
          <w:rFonts w:ascii="Arial" w:hAnsi="Arial" w:cs="Arial"/>
          <w:b/>
          <w:sz w:val="22"/>
          <w:szCs w:val="22"/>
        </w:rPr>
        <w:tab/>
      </w:r>
      <w:r w:rsidR="00141A51">
        <w:rPr>
          <w:rFonts w:ascii="Arial" w:hAnsi="Arial" w:cs="Arial"/>
          <w:bCs/>
          <w:sz w:val="22"/>
          <w:szCs w:val="22"/>
        </w:rPr>
        <w:t>8</w:t>
      </w:r>
      <w:r w:rsidR="00C359D7" w:rsidRPr="00DC7102">
        <w:rPr>
          <w:rFonts w:ascii="Arial" w:hAnsi="Arial" w:cs="Arial"/>
          <w:bCs/>
          <w:sz w:val="22"/>
          <w:szCs w:val="22"/>
        </w:rPr>
        <w:t>.</w:t>
      </w:r>
      <w:r w:rsidR="005C0049">
        <w:rPr>
          <w:rFonts w:ascii="Arial" w:hAnsi="Arial" w:cs="Arial"/>
          <w:bCs/>
          <w:sz w:val="22"/>
          <w:szCs w:val="22"/>
        </w:rPr>
        <w:t>3</w:t>
      </w:r>
      <w:r w:rsidR="00C359D7" w:rsidRPr="00DC7102">
        <w:rPr>
          <w:rFonts w:ascii="Arial" w:hAnsi="Arial" w:cs="Arial"/>
          <w:bCs/>
          <w:sz w:val="22"/>
          <w:szCs w:val="22"/>
        </w:rPr>
        <w:t>.</w:t>
      </w:r>
      <w:r w:rsidR="00C809CA" w:rsidRPr="00DC7102">
        <w:rPr>
          <w:rFonts w:ascii="Arial" w:hAnsi="Arial" w:cs="Arial"/>
          <w:bCs/>
          <w:sz w:val="22"/>
          <w:szCs w:val="22"/>
        </w:rPr>
        <w:t>2</w:t>
      </w:r>
      <w:r w:rsidR="00C359D7" w:rsidRPr="00DC7102">
        <w:rPr>
          <w:rFonts w:ascii="Arial" w:hAnsi="Arial" w:cs="Arial"/>
          <w:bCs/>
          <w:sz w:val="22"/>
          <w:szCs w:val="22"/>
        </w:rPr>
        <w:t>.5</w:t>
      </w:r>
    </w:p>
    <w:p w14:paraId="39B26804" w14:textId="77777777" w:rsidR="00D80957" w:rsidRPr="00DC7102" w:rsidRDefault="00D80957" w:rsidP="00CB3F45">
      <w:pPr>
        <w:tabs>
          <w:tab w:val="left" w:pos="1985"/>
        </w:tabs>
        <w:spacing w:after="0"/>
        <w:ind w:right="531"/>
        <w:jc w:val="both"/>
        <w:rPr>
          <w:rFonts w:ascii="Arial" w:hAnsi="Arial" w:cs="Arial"/>
          <w:b/>
          <w:sz w:val="22"/>
          <w:szCs w:val="22"/>
        </w:rPr>
      </w:pPr>
      <w:r w:rsidRPr="00DC7102">
        <w:rPr>
          <w:rFonts w:ascii="Arial" w:hAnsi="Arial" w:cs="Arial"/>
          <w:b/>
          <w:sz w:val="22"/>
          <w:szCs w:val="22"/>
        </w:rPr>
        <w:t xml:space="preserve">Source: </w:t>
      </w:r>
      <w:r w:rsidRPr="00DC7102">
        <w:rPr>
          <w:rFonts w:ascii="Arial" w:hAnsi="Arial" w:cs="Arial"/>
          <w:b/>
          <w:sz w:val="22"/>
          <w:szCs w:val="22"/>
        </w:rPr>
        <w:tab/>
      </w:r>
      <w:r w:rsidRPr="00DC7102">
        <w:rPr>
          <w:rFonts w:ascii="Arial" w:hAnsi="Arial" w:cs="Arial"/>
          <w:bCs/>
          <w:sz w:val="22"/>
          <w:szCs w:val="22"/>
        </w:rPr>
        <w:t>Ericsson</w:t>
      </w:r>
    </w:p>
    <w:p w14:paraId="0C4D239E" w14:textId="31AEBFD7" w:rsidR="00D80957" w:rsidRPr="00DC7102" w:rsidRDefault="00D80957" w:rsidP="00DF5E1E">
      <w:pPr>
        <w:tabs>
          <w:tab w:val="left" w:pos="1985"/>
        </w:tabs>
        <w:spacing w:after="0"/>
        <w:ind w:left="1980" w:right="531" w:hanging="1980"/>
        <w:jc w:val="both"/>
        <w:rPr>
          <w:rFonts w:ascii="Arial" w:hAnsi="Arial" w:cs="Arial"/>
          <w:sz w:val="22"/>
          <w:szCs w:val="22"/>
        </w:rPr>
      </w:pPr>
      <w:r w:rsidRPr="00DC7102">
        <w:rPr>
          <w:rFonts w:ascii="Arial" w:hAnsi="Arial" w:cs="Arial"/>
          <w:b/>
          <w:bCs/>
          <w:sz w:val="22"/>
          <w:szCs w:val="22"/>
        </w:rPr>
        <w:t>Title:</w:t>
      </w:r>
      <w:r w:rsidRPr="00DC7102">
        <w:rPr>
          <w:rFonts w:ascii="Arial" w:hAnsi="Arial" w:cs="Arial"/>
        </w:rPr>
        <w:tab/>
      </w:r>
      <w:r w:rsidR="00BE3CFE" w:rsidRPr="00DC7102">
        <w:rPr>
          <w:rFonts w:ascii="Arial" w:hAnsi="Arial" w:cs="Arial"/>
          <w:sz w:val="22"/>
          <w:szCs w:val="22"/>
        </w:rPr>
        <w:t xml:space="preserve">Discussion on </w:t>
      </w:r>
      <w:r w:rsidR="000D45BC" w:rsidRPr="00DC7102">
        <w:rPr>
          <w:rFonts w:ascii="Arial" w:hAnsi="Arial" w:cs="Arial"/>
          <w:sz w:val="22"/>
          <w:szCs w:val="22"/>
        </w:rPr>
        <w:t>TCI state switching delay with dual TCI</w:t>
      </w:r>
    </w:p>
    <w:p w14:paraId="065C26CA" w14:textId="77777777" w:rsidR="00D80957" w:rsidRPr="00DC7102" w:rsidRDefault="00D80957" w:rsidP="0085456A">
      <w:pPr>
        <w:tabs>
          <w:tab w:val="left" w:pos="1985"/>
        </w:tabs>
        <w:spacing w:after="0"/>
        <w:ind w:right="72"/>
        <w:jc w:val="both"/>
        <w:rPr>
          <w:rFonts w:ascii="Arial" w:hAnsi="Arial" w:cs="Arial"/>
          <w:sz w:val="22"/>
          <w:szCs w:val="22"/>
        </w:rPr>
      </w:pPr>
      <w:r w:rsidRPr="00DC7102">
        <w:rPr>
          <w:rFonts w:ascii="Arial" w:hAnsi="Arial" w:cs="Arial"/>
          <w:b/>
          <w:sz w:val="22"/>
          <w:szCs w:val="22"/>
        </w:rPr>
        <w:t>Document for:</w:t>
      </w:r>
      <w:r w:rsidR="00035275" w:rsidRPr="00DC7102">
        <w:rPr>
          <w:rFonts w:ascii="Arial" w:hAnsi="Arial" w:cs="Arial"/>
          <w:sz w:val="22"/>
          <w:szCs w:val="22"/>
        </w:rPr>
        <w:tab/>
      </w:r>
      <w:r w:rsidR="00EC1652" w:rsidRPr="00DC7102">
        <w:rPr>
          <w:rFonts w:ascii="Arial" w:hAnsi="Arial" w:cs="Arial"/>
          <w:sz w:val="22"/>
          <w:szCs w:val="22"/>
        </w:rPr>
        <w:t>Discussion</w:t>
      </w:r>
    </w:p>
    <w:p w14:paraId="1848C450" w14:textId="77777777" w:rsidR="00D80957" w:rsidRPr="00DC7102" w:rsidRDefault="00D80957" w:rsidP="0085456A">
      <w:pPr>
        <w:pStyle w:val="Heading1"/>
        <w:ind w:left="431" w:right="72" w:hanging="431"/>
        <w:jc w:val="both"/>
        <w:rPr>
          <w:rFonts w:cs="Arial"/>
          <w:szCs w:val="36"/>
        </w:rPr>
      </w:pPr>
      <w:r w:rsidRPr="00DC7102">
        <w:rPr>
          <w:rFonts w:cs="Arial"/>
          <w:szCs w:val="36"/>
        </w:rPr>
        <w:t>Introduction</w:t>
      </w:r>
      <w:bookmarkStart w:id="1" w:name="OLE_LINK13"/>
      <w:bookmarkStart w:id="2" w:name="OLE_LINK14"/>
    </w:p>
    <w:p w14:paraId="48D605C3" w14:textId="4D1B0D1C" w:rsidR="009E47F7" w:rsidRPr="00DC7102" w:rsidRDefault="0098269F" w:rsidP="00950EFD">
      <w:pPr>
        <w:spacing w:after="120"/>
        <w:rPr>
          <w:rFonts w:ascii="Arial" w:eastAsia="Times New Roman" w:hAnsi="Arial" w:cs="Arial"/>
          <w:i/>
          <w:lang w:eastAsia="zh-CN"/>
        </w:rPr>
      </w:pPr>
      <w:r w:rsidRPr="00DC7102">
        <w:rPr>
          <w:rFonts w:ascii="Arial" w:hAnsi="Arial" w:cs="Arial"/>
          <w:iCs/>
          <w:szCs w:val="24"/>
          <w:lang w:eastAsia="zh-CN"/>
        </w:rPr>
        <w:t>In this contribution</w:t>
      </w:r>
      <w:r w:rsidR="007F1EA0" w:rsidRPr="00DC7102">
        <w:rPr>
          <w:rFonts w:ascii="Arial" w:hAnsi="Arial" w:cs="Arial"/>
          <w:iCs/>
          <w:szCs w:val="24"/>
          <w:lang w:eastAsia="zh-CN"/>
        </w:rPr>
        <w:t>,</w:t>
      </w:r>
      <w:r w:rsidRPr="00DC7102">
        <w:rPr>
          <w:rFonts w:ascii="Arial" w:hAnsi="Arial" w:cs="Arial"/>
          <w:iCs/>
          <w:szCs w:val="24"/>
          <w:lang w:eastAsia="zh-CN"/>
        </w:rPr>
        <w:t xml:space="preserve"> we </w:t>
      </w:r>
      <w:r w:rsidR="00950EFD" w:rsidRPr="00DC7102">
        <w:rPr>
          <w:rFonts w:ascii="Arial" w:hAnsi="Arial" w:cs="Arial"/>
          <w:iCs/>
          <w:szCs w:val="24"/>
          <w:lang w:eastAsia="zh-CN"/>
        </w:rPr>
        <w:t>provide our views on</w:t>
      </w:r>
      <w:r w:rsidRPr="00DC7102">
        <w:rPr>
          <w:rFonts w:ascii="Arial" w:hAnsi="Arial" w:cs="Arial"/>
          <w:iCs/>
          <w:szCs w:val="24"/>
          <w:lang w:eastAsia="zh-CN"/>
        </w:rPr>
        <w:t xml:space="preserve"> the </w:t>
      </w:r>
      <w:r w:rsidR="002C672D" w:rsidRPr="00DC7102">
        <w:rPr>
          <w:rFonts w:ascii="Arial" w:hAnsi="Arial" w:cs="Arial"/>
          <w:iCs/>
          <w:szCs w:val="24"/>
          <w:lang w:eastAsia="zh-CN"/>
        </w:rPr>
        <w:t xml:space="preserve">remaining open issues in TCI state switching </w:t>
      </w:r>
      <w:r w:rsidRPr="00DC7102">
        <w:rPr>
          <w:rFonts w:ascii="Arial" w:hAnsi="Arial" w:cs="Arial"/>
          <w:iCs/>
          <w:szCs w:val="24"/>
          <w:lang w:eastAsia="zh-CN"/>
        </w:rPr>
        <w:t>delay requirements for the</w:t>
      </w:r>
      <w:r w:rsidR="002F0477" w:rsidRPr="00DC7102">
        <w:rPr>
          <w:rFonts w:ascii="Arial" w:hAnsi="Arial" w:cs="Arial"/>
          <w:iCs/>
          <w:szCs w:val="24"/>
          <w:lang w:eastAsia="zh-CN"/>
        </w:rPr>
        <w:t xml:space="preserve"> multi-rx. </w:t>
      </w:r>
      <w:r w:rsidR="00950EFD" w:rsidRPr="00DC7102">
        <w:rPr>
          <w:rFonts w:ascii="Arial" w:hAnsi="Arial" w:cs="Arial"/>
          <w:iCs/>
          <w:szCs w:val="24"/>
          <w:lang w:eastAsia="zh-CN"/>
        </w:rPr>
        <w:t xml:space="preserve"> </w:t>
      </w:r>
      <w:r w:rsidR="009E47F7" w:rsidRPr="00DC7102">
        <w:rPr>
          <w:rFonts w:ascii="Arial" w:eastAsia="Times New Roman" w:hAnsi="Arial" w:cs="Arial"/>
          <w:i/>
          <w:lang w:eastAsia="zh-CN"/>
        </w:rPr>
        <w:t xml:space="preserve"> </w:t>
      </w:r>
    </w:p>
    <w:p w14:paraId="46B976F3" w14:textId="77777777" w:rsidR="004E1614" w:rsidRPr="00DC7102" w:rsidRDefault="00A17509" w:rsidP="004E1614">
      <w:pPr>
        <w:pStyle w:val="Heading1"/>
        <w:ind w:right="72"/>
        <w:rPr>
          <w:rFonts w:cs="Arial"/>
          <w:lang w:val="sv-SE"/>
        </w:rPr>
      </w:pPr>
      <w:r w:rsidRPr="00DC7102">
        <w:rPr>
          <w:rFonts w:cs="Arial"/>
          <w:lang w:val="sv-SE"/>
        </w:rPr>
        <w:t>Discussion</w:t>
      </w:r>
    </w:p>
    <w:bookmarkEnd w:id="1"/>
    <w:bookmarkEnd w:id="2"/>
    <w:p w14:paraId="2EE71A57" w14:textId="34743303" w:rsidR="00CA607D" w:rsidRDefault="00CA607D" w:rsidP="004A4FF6">
      <w:pPr>
        <w:pStyle w:val="Heading2"/>
        <w:rPr>
          <w:rFonts w:cs="Arial"/>
          <w:sz w:val="28"/>
          <w:szCs w:val="18"/>
        </w:rPr>
      </w:pPr>
      <w:r w:rsidRPr="00DC7102">
        <w:rPr>
          <w:rFonts w:cs="Arial"/>
          <w:sz w:val="28"/>
          <w:szCs w:val="18"/>
        </w:rPr>
        <w:t>DCI based TCI state switch</w:t>
      </w:r>
    </w:p>
    <w:p w14:paraId="5F80CA64" w14:textId="68714198" w:rsidR="00A05EEC" w:rsidRDefault="00592BF9" w:rsidP="00A05EEC">
      <w:pPr>
        <w:rPr>
          <w:lang w:eastAsia="x-none"/>
        </w:rPr>
      </w:pPr>
      <w:r>
        <w:rPr>
          <w:lang w:eastAsia="x-none"/>
        </w:rPr>
        <w:t xml:space="preserve">In last meeting some of the issues are open pending on the RAN1 reply LS. </w:t>
      </w:r>
      <w:r w:rsidR="00CA72C6">
        <w:rPr>
          <w:lang w:eastAsia="x-none"/>
        </w:rPr>
        <w:t xml:space="preserve">RAN1 </w:t>
      </w:r>
      <w:r w:rsidR="00BD61A6">
        <w:rPr>
          <w:lang w:eastAsia="x-none"/>
        </w:rPr>
        <w:t>reply</w:t>
      </w:r>
      <w:r w:rsidR="003E4A34">
        <w:rPr>
          <w:lang w:eastAsia="x-none"/>
        </w:rPr>
        <w:t xml:space="preserve"> [3]</w:t>
      </w:r>
      <w:r w:rsidR="00BD61A6">
        <w:rPr>
          <w:lang w:eastAsia="x-none"/>
        </w:rPr>
        <w:t xml:space="preserve"> is copied below for reference.</w:t>
      </w:r>
    </w:p>
    <w:p w14:paraId="4E003145" w14:textId="77777777" w:rsidR="002A2E19" w:rsidRDefault="002A2E19" w:rsidP="00BD61A6">
      <w:pPr>
        <w:pStyle w:val="Header"/>
        <w:jc w:val="both"/>
        <w:rPr>
          <w:i/>
          <w:iCs/>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2A2E19" w14:paraId="637E0B3F" w14:textId="77777777" w:rsidTr="002A2E19">
        <w:trPr>
          <w:trHeight w:val="9736"/>
        </w:trPr>
        <w:tc>
          <w:tcPr>
            <w:tcW w:w="9892" w:type="dxa"/>
          </w:tcPr>
          <w:p w14:paraId="75826213" w14:textId="77777777" w:rsidR="002A2E19" w:rsidRPr="00BD61A6" w:rsidRDefault="002A2E19" w:rsidP="002A2E19">
            <w:pPr>
              <w:pStyle w:val="Header"/>
              <w:ind w:left="41"/>
              <w:jc w:val="both"/>
              <w:rPr>
                <w:i/>
                <w:iCs/>
              </w:rPr>
            </w:pPr>
            <w:r w:rsidRPr="00BD61A6">
              <w:rPr>
                <w:i/>
                <w:iCs/>
              </w:rPr>
              <w:t>RAN1 thanks RAN4 for the LS on Dual TCI state switching in mDCI and would like to provide the following response.</w:t>
            </w:r>
          </w:p>
          <w:p w14:paraId="25F96C37" w14:textId="77777777" w:rsidR="002A2E19" w:rsidRPr="00BD61A6" w:rsidRDefault="002A2E19" w:rsidP="002A2E19">
            <w:pPr>
              <w:pStyle w:val="Header"/>
              <w:ind w:left="41"/>
              <w:jc w:val="both"/>
              <w:rPr>
                <w:i/>
                <w:iCs/>
              </w:rPr>
            </w:pPr>
          </w:p>
          <w:p w14:paraId="6CB93073" w14:textId="77777777" w:rsidR="002A2E19" w:rsidRPr="00BD61A6" w:rsidRDefault="002A2E19" w:rsidP="002A2E19">
            <w:pPr>
              <w:pStyle w:val="Header"/>
              <w:ind w:left="41"/>
              <w:jc w:val="both"/>
              <w:rPr>
                <w:i/>
                <w:iCs/>
              </w:rPr>
            </w:pPr>
          </w:p>
          <w:p w14:paraId="1784AE01" w14:textId="77777777" w:rsidR="002A2E19" w:rsidRPr="00BD61A6" w:rsidRDefault="002A2E19" w:rsidP="002A2E19">
            <w:pPr>
              <w:pStyle w:val="TH"/>
              <w:rPr>
                <w:rFonts w:ascii="Times New Roman" w:hAnsi="Times New Roman"/>
                <w:bCs/>
                <w:i/>
                <w:iCs/>
              </w:rPr>
            </w:pPr>
            <w:r w:rsidRPr="00BD61A6">
              <w:rPr>
                <w:rFonts w:ascii="Times New Roman" w:hAnsi="Times New Roman"/>
                <w:i/>
                <w:iCs/>
                <w:noProof/>
              </w:rPr>
              <w:drawing>
                <wp:inline distT="0" distB="0" distL="0" distR="0" wp14:anchorId="55E218C3" wp14:editId="5DDCDF96">
                  <wp:extent cx="3842795" cy="194532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58142A83" w14:textId="77777777" w:rsidR="002A2E19" w:rsidRPr="00BD61A6" w:rsidRDefault="002A2E19" w:rsidP="002A2E19">
            <w:pPr>
              <w:pStyle w:val="TF"/>
              <w:rPr>
                <w:rFonts w:ascii="Times New Roman" w:hAnsi="Times New Roman"/>
                <w:i/>
                <w:iCs/>
              </w:rPr>
            </w:pPr>
            <w:bookmarkStart w:id="3" w:name="_Ref146789651"/>
            <w:r w:rsidRPr="00BD61A6">
              <w:rPr>
                <w:rFonts w:ascii="Times New Roman" w:hAnsi="Times New Roman"/>
                <w:i/>
                <w:iCs/>
              </w:rPr>
              <w:t xml:space="preserve">Figure </w:t>
            </w:r>
            <w:r w:rsidRPr="00BD61A6">
              <w:rPr>
                <w:rFonts w:ascii="Times New Roman" w:hAnsi="Times New Roman"/>
                <w:i/>
                <w:iCs/>
              </w:rPr>
              <w:fldChar w:fldCharType="begin"/>
            </w:r>
            <w:r w:rsidRPr="00BD61A6">
              <w:rPr>
                <w:rFonts w:ascii="Times New Roman" w:hAnsi="Times New Roman"/>
                <w:i/>
                <w:iCs/>
              </w:rPr>
              <w:instrText xml:space="preserve"> SEQ Figure \* ARABIC </w:instrText>
            </w:r>
            <w:r w:rsidRPr="00BD61A6">
              <w:rPr>
                <w:rFonts w:ascii="Times New Roman" w:hAnsi="Times New Roman"/>
                <w:i/>
                <w:iCs/>
              </w:rPr>
              <w:fldChar w:fldCharType="separate"/>
            </w:r>
            <w:r w:rsidRPr="00BD61A6">
              <w:rPr>
                <w:rFonts w:ascii="Times New Roman" w:hAnsi="Times New Roman"/>
                <w:i/>
                <w:iCs/>
                <w:noProof/>
              </w:rPr>
              <w:t>1</w:t>
            </w:r>
            <w:r w:rsidRPr="00BD61A6">
              <w:rPr>
                <w:rFonts w:ascii="Times New Roman" w:hAnsi="Times New Roman"/>
                <w:i/>
                <w:iCs/>
                <w:noProof/>
              </w:rPr>
              <w:fldChar w:fldCharType="end"/>
            </w:r>
            <w:bookmarkEnd w:id="3"/>
            <w:r w:rsidRPr="00BD61A6">
              <w:rPr>
                <w:rFonts w:ascii="Times New Roman" w:hAnsi="Times New Roman"/>
                <w:i/>
                <w:iCs/>
              </w:rPr>
              <w:t>: Example mDCI scenario</w:t>
            </w:r>
          </w:p>
          <w:p w14:paraId="18AFCEBD" w14:textId="77777777" w:rsidR="002A2E19" w:rsidRPr="00BD61A6" w:rsidRDefault="002A2E19" w:rsidP="002A2E19">
            <w:pPr>
              <w:pStyle w:val="Header"/>
              <w:ind w:left="41"/>
              <w:jc w:val="both"/>
              <w:rPr>
                <w:i/>
                <w:iCs/>
              </w:rPr>
            </w:pPr>
          </w:p>
          <w:p w14:paraId="2B9AF8C3" w14:textId="77777777" w:rsidR="002A2E19" w:rsidRPr="00BD61A6" w:rsidRDefault="002A2E19" w:rsidP="002A2E19">
            <w:pPr>
              <w:pStyle w:val="BodyText"/>
              <w:ind w:left="41"/>
              <w:rPr>
                <w:b/>
                <w:bCs/>
                <w:i/>
                <w:iCs/>
                <w:sz w:val="20"/>
              </w:rPr>
            </w:pPr>
            <w:r w:rsidRPr="00BD61A6">
              <w:rPr>
                <w:b/>
                <w:bCs/>
                <w:i/>
                <w:iCs/>
                <w:sz w:val="20"/>
              </w:rPr>
              <w:t xml:space="preserve">Question1-1: </w:t>
            </w:r>
          </w:p>
          <w:p w14:paraId="73460AFB" w14:textId="77777777" w:rsidR="002A2E19" w:rsidRPr="00BD61A6" w:rsidRDefault="002A2E19" w:rsidP="002A2E19">
            <w:pPr>
              <w:pStyle w:val="BodyText"/>
              <w:ind w:left="41"/>
              <w:rPr>
                <w:i/>
                <w:iCs/>
                <w:sz w:val="20"/>
              </w:rPr>
            </w:pPr>
            <w:r w:rsidRPr="00BD61A6">
              <w:rPr>
                <w:i/>
                <w:iCs/>
                <w:sz w:val="20"/>
              </w:rPr>
              <w:t xml:space="preserve">For the scenario depicted in </w:t>
            </w:r>
            <w:r w:rsidRPr="00BD61A6">
              <w:rPr>
                <w:i/>
                <w:iCs/>
                <w:sz w:val="20"/>
              </w:rPr>
              <w:fldChar w:fldCharType="begin"/>
            </w:r>
            <w:r w:rsidRPr="00BD61A6">
              <w:rPr>
                <w:i/>
                <w:iCs/>
                <w:sz w:val="20"/>
              </w:rPr>
              <w:instrText xml:space="preserve"> REF _Ref146789651 \h  \* MERGEFORMAT </w:instrText>
            </w:r>
            <w:r w:rsidRPr="00BD61A6">
              <w:rPr>
                <w:i/>
                <w:iCs/>
                <w:sz w:val="20"/>
              </w:rPr>
            </w:r>
            <w:r w:rsidRPr="00BD61A6">
              <w:rPr>
                <w:i/>
                <w:iCs/>
                <w:sz w:val="20"/>
              </w:rPr>
              <w:fldChar w:fldCharType="separate"/>
            </w:r>
            <w:r w:rsidRPr="00BD61A6">
              <w:rPr>
                <w:i/>
                <w:iCs/>
                <w:sz w:val="20"/>
              </w:rPr>
              <w:t xml:space="preserve">Figure </w:t>
            </w:r>
            <w:r w:rsidRPr="00BD61A6">
              <w:rPr>
                <w:i/>
                <w:iCs/>
                <w:noProof/>
                <w:sz w:val="20"/>
              </w:rPr>
              <w:t>1</w:t>
            </w:r>
            <w:r w:rsidRPr="00BD61A6">
              <w:rPr>
                <w:i/>
                <w:iCs/>
                <w:sz w:val="20"/>
              </w:rPr>
              <w:fldChar w:fldCharType="end"/>
            </w:r>
            <w:r w:rsidRPr="00BD61A6">
              <w:rPr>
                <w:i/>
                <w:iCs/>
                <w:sz w:val="20"/>
              </w:rPr>
              <w:t>, is there any minimum duration defined in RAN1 specifications between point B and point C?</w:t>
            </w:r>
          </w:p>
          <w:p w14:paraId="61203D96" w14:textId="77777777" w:rsidR="002A2E19" w:rsidRPr="00BD61A6" w:rsidRDefault="002A2E19" w:rsidP="002A2E19">
            <w:pPr>
              <w:pStyle w:val="BodyText"/>
              <w:ind w:left="41"/>
              <w:rPr>
                <w:i/>
                <w:iCs/>
                <w:sz w:val="20"/>
              </w:rPr>
            </w:pPr>
          </w:p>
          <w:p w14:paraId="2CE78DD1" w14:textId="77777777" w:rsidR="002A2E19" w:rsidRPr="00BD61A6" w:rsidRDefault="002A2E19" w:rsidP="002A2E19">
            <w:pPr>
              <w:pStyle w:val="BodyText"/>
              <w:ind w:left="41"/>
              <w:rPr>
                <w:b/>
                <w:bCs/>
                <w:i/>
                <w:iCs/>
                <w:sz w:val="20"/>
              </w:rPr>
            </w:pPr>
            <w:r w:rsidRPr="00BD61A6">
              <w:rPr>
                <w:b/>
                <w:bCs/>
                <w:i/>
                <w:iCs/>
                <w:sz w:val="20"/>
              </w:rPr>
              <w:t xml:space="preserve">Answer: </w:t>
            </w:r>
          </w:p>
          <w:p w14:paraId="4A385B19" w14:textId="77777777" w:rsidR="002A2E19" w:rsidRPr="00BD61A6" w:rsidRDefault="002A2E19" w:rsidP="002A2E19">
            <w:pPr>
              <w:pStyle w:val="ListBullet"/>
              <w:ind w:left="41" w:firstLine="0"/>
              <w:rPr>
                <w:i/>
                <w:iCs/>
              </w:rPr>
            </w:pPr>
            <w:r w:rsidRPr="00BD61A6">
              <w:rPr>
                <w:i/>
                <w:iCs/>
              </w:rPr>
              <w:t>There is no restriction on the duration between point B and C.</w:t>
            </w:r>
          </w:p>
          <w:p w14:paraId="6F0BB58E" w14:textId="77777777" w:rsidR="002A2E19" w:rsidRPr="00BD61A6" w:rsidRDefault="002A2E19" w:rsidP="002A2E19">
            <w:pPr>
              <w:pStyle w:val="BodyText"/>
              <w:ind w:left="41"/>
              <w:rPr>
                <w:b/>
                <w:bCs/>
                <w:i/>
                <w:iCs/>
                <w:sz w:val="20"/>
              </w:rPr>
            </w:pPr>
            <w:r w:rsidRPr="00BD61A6">
              <w:rPr>
                <w:b/>
                <w:bCs/>
                <w:i/>
                <w:iCs/>
                <w:sz w:val="20"/>
              </w:rPr>
              <w:t>Question 1-2:</w:t>
            </w:r>
          </w:p>
          <w:p w14:paraId="2F4102DF" w14:textId="77777777" w:rsidR="002A2E19" w:rsidRPr="00BD61A6" w:rsidRDefault="002A2E19" w:rsidP="002A2E19">
            <w:pPr>
              <w:pStyle w:val="BodyText"/>
              <w:ind w:left="41"/>
              <w:rPr>
                <w:i/>
                <w:iCs/>
                <w:sz w:val="20"/>
              </w:rPr>
            </w:pPr>
            <w:r w:rsidRPr="00BD61A6">
              <w:rPr>
                <w:i/>
                <w:iCs/>
                <w:sz w:val="20"/>
              </w:rPr>
              <w:t>What is the expected UE behaviour after point C?</w:t>
            </w:r>
          </w:p>
          <w:p w14:paraId="6C17E945" w14:textId="77777777" w:rsidR="002A2E19" w:rsidRPr="00BD61A6" w:rsidRDefault="002A2E19" w:rsidP="002A2E19">
            <w:pPr>
              <w:pStyle w:val="BodyText"/>
              <w:ind w:left="41"/>
              <w:rPr>
                <w:i/>
                <w:iCs/>
                <w:sz w:val="20"/>
              </w:rPr>
            </w:pPr>
          </w:p>
          <w:p w14:paraId="6C5CE81C" w14:textId="77777777" w:rsidR="002A2E19" w:rsidRPr="00BD61A6" w:rsidRDefault="002A2E19" w:rsidP="002A2E19">
            <w:pPr>
              <w:pStyle w:val="BodyText"/>
              <w:ind w:left="41"/>
              <w:rPr>
                <w:i/>
                <w:iCs/>
                <w:sz w:val="20"/>
              </w:rPr>
            </w:pPr>
            <w:r w:rsidRPr="00BD61A6">
              <w:rPr>
                <w:b/>
                <w:bCs/>
                <w:i/>
                <w:iCs/>
                <w:sz w:val="20"/>
              </w:rPr>
              <w:t>Answer:</w:t>
            </w:r>
            <w:r w:rsidRPr="00BD61A6">
              <w:rPr>
                <w:i/>
                <w:iCs/>
                <w:sz w:val="20"/>
              </w:rPr>
              <w:t xml:space="preserve"> </w:t>
            </w:r>
          </w:p>
          <w:p w14:paraId="434177AD" w14:textId="77777777" w:rsidR="002A2E19" w:rsidRPr="00BD61A6" w:rsidRDefault="002A2E19" w:rsidP="002A2E19">
            <w:pPr>
              <w:pStyle w:val="BodyText"/>
              <w:ind w:left="41"/>
              <w:rPr>
                <w:i/>
                <w:iCs/>
                <w:sz w:val="20"/>
              </w:rPr>
            </w:pPr>
            <w:r w:rsidRPr="00BD61A6">
              <w:rPr>
                <w:i/>
                <w:iCs/>
                <w:sz w:val="20"/>
              </w:rPr>
              <w:t>After point C, the UE would receive PDSCH0 using the TCI state conveyed in DCI0. At point D, the UE would receive PDSCH1 using the TCI state conveyed in DCI1.</w:t>
            </w:r>
          </w:p>
          <w:p w14:paraId="41990B47" w14:textId="77777777" w:rsidR="002A2E19" w:rsidRPr="00BD61A6" w:rsidRDefault="002A2E19" w:rsidP="002A2E19">
            <w:pPr>
              <w:pStyle w:val="BodyText"/>
              <w:ind w:left="41"/>
              <w:rPr>
                <w:i/>
                <w:iCs/>
                <w:sz w:val="20"/>
              </w:rPr>
            </w:pPr>
          </w:p>
          <w:p w14:paraId="27527E0F" w14:textId="77777777" w:rsidR="002A2E19" w:rsidRPr="00BD61A6" w:rsidRDefault="002A2E19" w:rsidP="002A2E19">
            <w:pPr>
              <w:pStyle w:val="BodyText"/>
              <w:ind w:left="41"/>
              <w:rPr>
                <w:b/>
                <w:bCs/>
                <w:i/>
                <w:iCs/>
                <w:sz w:val="20"/>
              </w:rPr>
            </w:pPr>
            <w:r w:rsidRPr="00BD61A6">
              <w:rPr>
                <w:b/>
                <w:bCs/>
                <w:i/>
                <w:iCs/>
                <w:sz w:val="20"/>
              </w:rPr>
              <w:t>Question 1-3:</w:t>
            </w:r>
          </w:p>
          <w:p w14:paraId="22BAC211" w14:textId="77777777" w:rsidR="002A2E19" w:rsidRPr="00BD61A6" w:rsidRDefault="002A2E19" w:rsidP="002A2E19">
            <w:pPr>
              <w:pStyle w:val="BodyText"/>
              <w:ind w:left="41"/>
              <w:rPr>
                <w:i/>
                <w:iCs/>
                <w:sz w:val="20"/>
              </w:rPr>
            </w:pPr>
            <w:r w:rsidRPr="00BD61A6">
              <w:rPr>
                <w:i/>
                <w:iCs/>
                <w:sz w:val="20"/>
              </w:rPr>
              <w:t>Does RAN1 sees the need to define such minimum duration between B and C to address potential UE implementation complexity for some UE implementations?</w:t>
            </w:r>
          </w:p>
          <w:p w14:paraId="71B3DDFD" w14:textId="77777777" w:rsidR="002A2E19" w:rsidRPr="00BD61A6" w:rsidRDefault="002A2E19" w:rsidP="002A2E19">
            <w:pPr>
              <w:pStyle w:val="BodyText"/>
              <w:ind w:left="41"/>
              <w:rPr>
                <w:i/>
                <w:iCs/>
                <w:sz w:val="20"/>
              </w:rPr>
            </w:pPr>
          </w:p>
          <w:p w14:paraId="1C582E9F" w14:textId="77777777" w:rsidR="002A2E19" w:rsidRPr="00BD61A6" w:rsidRDefault="002A2E19" w:rsidP="002A2E19">
            <w:pPr>
              <w:pStyle w:val="BodyText"/>
              <w:ind w:left="41"/>
              <w:rPr>
                <w:i/>
                <w:iCs/>
                <w:sz w:val="20"/>
              </w:rPr>
            </w:pPr>
            <w:r w:rsidRPr="00BD61A6">
              <w:rPr>
                <w:b/>
                <w:bCs/>
                <w:i/>
                <w:iCs/>
                <w:sz w:val="20"/>
              </w:rPr>
              <w:t>Answer:</w:t>
            </w:r>
            <w:r w:rsidRPr="00BD61A6">
              <w:rPr>
                <w:i/>
                <w:iCs/>
                <w:sz w:val="20"/>
              </w:rPr>
              <w:t xml:space="preserve"> </w:t>
            </w:r>
          </w:p>
          <w:p w14:paraId="7E01390A" w14:textId="77777777" w:rsidR="002A2E19" w:rsidRPr="00BD61A6" w:rsidRDefault="002A2E19" w:rsidP="002A2E19">
            <w:pPr>
              <w:pStyle w:val="BodyText"/>
              <w:ind w:left="41"/>
              <w:rPr>
                <w:i/>
                <w:iCs/>
                <w:sz w:val="20"/>
              </w:rPr>
            </w:pPr>
            <w:r w:rsidRPr="00BD61A6">
              <w:rPr>
                <w:i/>
                <w:iCs/>
                <w:sz w:val="20"/>
              </w:rPr>
              <w:t>No, RAN1 did not have a discussion on whether such restriction is necessary when the feature was specified in Rel-16.</w:t>
            </w:r>
          </w:p>
          <w:p w14:paraId="4D7D85AD" w14:textId="77777777" w:rsidR="002A2E19" w:rsidRDefault="002A2E19" w:rsidP="002A2E19">
            <w:pPr>
              <w:pStyle w:val="Header"/>
              <w:ind w:left="41"/>
              <w:jc w:val="both"/>
              <w:rPr>
                <w:i/>
                <w:iCs/>
              </w:rPr>
            </w:pPr>
          </w:p>
        </w:tc>
      </w:tr>
    </w:tbl>
    <w:p w14:paraId="590BF5D0" w14:textId="2C96E6D1" w:rsidR="00521C77" w:rsidRDefault="00521C77" w:rsidP="00A05EEC">
      <w:pPr>
        <w:rPr>
          <w:lang w:eastAsia="x-none"/>
        </w:rPr>
      </w:pPr>
      <w:r>
        <w:rPr>
          <w:lang w:eastAsia="x-none"/>
        </w:rPr>
        <w:lastRenderedPageBreak/>
        <w:t xml:space="preserve">Based on </w:t>
      </w:r>
      <w:r w:rsidR="002A2E19">
        <w:rPr>
          <w:lang w:eastAsia="x-none"/>
        </w:rPr>
        <w:t>our understanding of</w:t>
      </w:r>
      <w:r>
        <w:rPr>
          <w:lang w:eastAsia="x-none"/>
        </w:rPr>
        <w:t xml:space="preserve"> RAN1 response, we </w:t>
      </w:r>
      <w:r w:rsidR="00190DB9">
        <w:rPr>
          <w:lang w:eastAsia="x-none"/>
        </w:rPr>
        <w:t>think</w:t>
      </w:r>
      <w:r>
        <w:rPr>
          <w:lang w:eastAsia="x-none"/>
        </w:rPr>
        <w:t xml:space="preserve"> </w:t>
      </w:r>
      <w:r w:rsidR="004C4763">
        <w:rPr>
          <w:lang w:eastAsia="x-none"/>
        </w:rPr>
        <w:t xml:space="preserve">DCI based dual TCI state switching requirements </w:t>
      </w:r>
      <w:r w:rsidR="00A71260">
        <w:rPr>
          <w:lang w:eastAsia="x-none"/>
        </w:rPr>
        <w:t xml:space="preserve">for mDCI </w:t>
      </w:r>
      <w:r w:rsidR="00C27149">
        <w:rPr>
          <w:lang w:eastAsia="x-none"/>
        </w:rPr>
        <w:t>is independent</w:t>
      </w:r>
      <w:r w:rsidR="004C4763">
        <w:rPr>
          <w:lang w:eastAsia="x-none"/>
        </w:rPr>
        <w:t xml:space="preserve"> </w:t>
      </w:r>
      <w:r w:rsidR="00F57874">
        <w:rPr>
          <w:lang w:eastAsia="x-none"/>
        </w:rPr>
        <w:t xml:space="preserve">for each TCI state. </w:t>
      </w:r>
      <w:r w:rsidR="00AE47C2">
        <w:rPr>
          <w:lang w:eastAsia="x-none"/>
        </w:rPr>
        <w:t>However, a</w:t>
      </w:r>
      <w:r w:rsidR="00C303EF">
        <w:rPr>
          <w:lang w:eastAsia="x-none"/>
        </w:rPr>
        <w:t xml:space="preserve">fter Point C if the </w:t>
      </w:r>
      <w:r w:rsidR="00B35D23">
        <w:rPr>
          <w:lang w:eastAsia="x-none"/>
        </w:rPr>
        <w:t xml:space="preserve">new </w:t>
      </w:r>
      <w:r w:rsidR="00C303EF">
        <w:rPr>
          <w:lang w:eastAsia="x-none"/>
        </w:rPr>
        <w:t xml:space="preserve">TCI state 0 and old TCI state 1 cannot be received simultaneously, </w:t>
      </w:r>
      <w:r w:rsidR="0026634E">
        <w:rPr>
          <w:lang w:eastAsia="x-none"/>
        </w:rPr>
        <w:t xml:space="preserve">since Ran1 did not </w:t>
      </w:r>
      <w:r w:rsidR="000A55DD">
        <w:rPr>
          <w:lang w:eastAsia="x-none"/>
        </w:rPr>
        <w:t xml:space="preserve">respond to that question, </w:t>
      </w:r>
      <w:r w:rsidR="00C303EF">
        <w:rPr>
          <w:lang w:eastAsia="x-none"/>
        </w:rPr>
        <w:t xml:space="preserve">we </w:t>
      </w:r>
      <w:r w:rsidR="00841D8F">
        <w:rPr>
          <w:lang w:eastAsia="x-none"/>
        </w:rPr>
        <w:t xml:space="preserve">think </w:t>
      </w:r>
      <w:r w:rsidR="000A55DD">
        <w:rPr>
          <w:lang w:eastAsia="x-none"/>
        </w:rPr>
        <w:t xml:space="preserve">RAN4 </w:t>
      </w:r>
      <w:r w:rsidR="00AE47C2">
        <w:rPr>
          <w:lang w:eastAsia="x-none"/>
        </w:rPr>
        <w:t>need to</w:t>
      </w:r>
      <w:r w:rsidR="000A55DD">
        <w:rPr>
          <w:lang w:eastAsia="x-none"/>
        </w:rPr>
        <w:t xml:space="preserve"> define behaviour </w:t>
      </w:r>
      <w:r w:rsidR="00AE47C2">
        <w:rPr>
          <w:lang w:eastAsia="x-none"/>
        </w:rPr>
        <w:t>for</w:t>
      </w:r>
      <w:r w:rsidR="00B35D23">
        <w:rPr>
          <w:lang w:eastAsia="x-none"/>
        </w:rPr>
        <w:t xml:space="preserve"> that </w:t>
      </w:r>
      <w:r w:rsidR="004830A9">
        <w:rPr>
          <w:lang w:eastAsia="x-none"/>
        </w:rPr>
        <w:t>scenario. We think</w:t>
      </w:r>
      <w:r w:rsidR="000A55DD">
        <w:rPr>
          <w:lang w:eastAsia="x-none"/>
        </w:rPr>
        <w:t xml:space="preserve"> </w:t>
      </w:r>
      <w:r w:rsidR="00841D8F">
        <w:rPr>
          <w:lang w:eastAsia="x-none"/>
        </w:rPr>
        <w:t xml:space="preserve">UE can receive </w:t>
      </w:r>
      <w:r w:rsidR="002B32A3">
        <w:rPr>
          <w:lang w:eastAsia="x-none"/>
        </w:rPr>
        <w:t xml:space="preserve">on single TCI state </w:t>
      </w:r>
      <w:r w:rsidR="002F735A">
        <w:rPr>
          <w:lang w:eastAsia="x-none"/>
        </w:rPr>
        <w:t>during transition period (i.e., between C and D)</w:t>
      </w:r>
      <w:r w:rsidR="0060722B">
        <w:rPr>
          <w:lang w:eastAsia="x-none"/>
        </w:rPr>
        <w:t xml:space="preserve"> </w:t>
      </w:r>
      <w:r w:rsidR="002B32A3">
        <w:rPr>
          <w:lang w:eastAsia="x-none"/>
        </w:rPr>
        <w:t xml:space="preserve">if the new TCI state and old TCI state are not a beam pair. The one TCI state UE should be </w:t>
      </w:r>
      <w:r w:rsidR="00D53C1D">
        <w:rPr>
          <w:lang w:eastAsia="x-none"/>
        </w:rPr>
        <w:t xml:space="preserve">receiving between point C and D if UE </w:t>
      </w:r>
      <w:r w:rsidR="00947A37">
        <w:rPr>
          <w:lang w:eastAsia="x-none"/>
        </w:rPr>
        <w:t xml:space="preserve">cannot receive on both </w:t>
      </w:r>
      <w:r w:rsidR="00F514F4">
        <w:rPr>
          <w:lang w:eastAsia="x-none"/>
        </w:rPr>
        <w:t xml:space="preserve">TCI states </w:t>
      </w:r>
      <w:r w:rsidR="00D358F2">
        <w:rPr>
          <w:lang w:eastAsia="x-none"/>
        </w:rPr>
        <w:t xml:space="preserve">should be the </w:t>
      </w:r>
      <w:r w:rsidR="008C3050">
        <w:rPr>
          <w:lang w:eastAsia="x-none"/>
        </w:rPr>
        <w:t xml:space="preserve">new </w:t>
      </w:r>
      <w:r w:rsidR="00841D8F">
        <w:rPr>
          <w:lang w:eastAsia="x-none"/>
        </w:rPr>
        <w:t>TCI state</w:t>
      </w:r>
      <w:r w:rsidR="00474865">
        <w:rPr>
          <w:lang w:eastAsia="x-none"/>
        </w:rPr>
        <w:t xml:space="preserve">. </w:t>
      </w:r>
    </w:p>
    <w:p w14:paraId="6DDD4E02" w14:textId="6DBF1B3F" w:rsidR="007214BF" w:rsidRDefault="00DE4020" w:rsidP="001628AB">
      <w:pPr>
        <w:pStyle w:val="ListParagraph"/>
        <w:numPr>
          <w:ilvl w:val="0"/>
          <w:numId w:val="25"/>
        </w:numPr>
      </w:pPr>
      <w:r>
        <w:t xml:space="preserve">For mDCI based dual DCI state </w:t>
      </w:r>
      <w:r w:rsidR="00242E75">
        <w:t>switch, TCI state switch on each coreset is independent</w:t>
      </w:r>
      <w:r w:rsidR="003417A5">
        <w:rPr>
          <w:lang w:val="en-US"/>
        </w:rPr>
        <w:t xml:space="preserve"> without any restriction on the DCI reception. </w:t>
      </w:r>
    </w:p>
    <w:p w14:paraId="2B84A760" w14:textId="36BA306F" w:rsidR="00242E75" w:rsidRPr="00521C77" w:rsidRDefault="002E35E8" w:rsidP="001628AB">
      <w:pPr>
        <w:pStyle w:val="ListParagraph"/>
        <w:numPr>
          <w:ilvl w:val="0"/>
          <w:numId w:val="25"/>
        </w:numPr>
        <w:rPr>
          <w:lang w:val="en-US"/>
        </w:rPr>
      </w:pPr>
      <w:r>
        <w:t xml:space="preserve">Between point C and D, UE to receive on TCI state 0 </w:t>
      </w:r>
      <w:r w:rsidR="001628AB">
        <w:t xml:space="preserve">alone, if new TCI state 0 and old TCI state 1 are not in a beam pair. </w:t>
      </w:r>
    </w:p>
    <w:p w14:paraId="0A5B0835" w14:textId="5F5DBE0A" w:rsidR="00F90202" w:rsidRPr="00471BAD" w:rsidRDefault="00F90202" w:rsidP="00EC298A">
      <w:pPr>
        <w:pStyle w:val="ListParagraph"/>
        <w:ind w:left="360"/>
        <w:rPr>
          <w:rFonts w:ascii="Arial" w:hAnsi="Arial" w:cs="Arial"/>
          <w:i/>
          <w:iCs/>
          <w:lang w:val="en-US"/>
        </w:rPr>
      </w:pPr>
    </w:p>
    <w:p w14:paraId="641D08FF" w14:textId="77777777" w:rsidR="00AD3201" w:rsidRPr="00DC7102" w:rsidRDefault="00AD3201" w:rsidP="003F12BE">
      <w:pPr>
        <w:pStyle w:val="Heading1"/>
        <w:ind w:right="72"/>
        <w:rPr>
          <w:rFonts w:cs="Arial"/>
          <w:lang w:val="sv-SE"/>
        </w:rPr>
      </w:pPr>
      <w:r w:rsidRPr="00DC7102">
        <w:rPr>
          <w:rFonts w:cs="Arial"/>
          <w:lang w:val="sv-SE"/>
        </w:rPr>
        <w:t>Summary</w:t>
      </w:r>
    </w:p>
    <w:p w14:paraId="48EF0597" w14:textId="77777777" w:rsidR="0053722F" w:rsidRPr="0073603E" w:rsidRDefault="00BD2AAF" w:rsidP="0053722F">
      <w:pPr>
        <w:rPr>
          <w:lang w:eastAsia="x-none"/>
        </w:rPr>
      </w:pPr>
      <w:r w:rsidRPr="0073603E">
        <w:rPr>
          <w:lang w:eastAsia="x-none"/>
        </w:rPr>
        <w:t>The following have been observed and proposed in this contribution.</w:t>
      </w:r>
    </w:p>
    <w:p w14:paraId="58FC89BD" w14:textId="77777777" w:rsidR="00503A21" w:rsidRDefault="00503A21" w:rsidP="00503A21">
      <w:pPr>
        <w:pStyle w:val="ListParagraph"/>
        <w:numPr>
          <w:ilvl w:val="0"/>
          <w:numId w:val="24"/>
        </w:numPr>
      </w:pPr>
      <w:r>
        <w:t>For mDCI based dual DCI state switch, TCI state switch on each coreset is independent</w:t>
      </w:r>
      <w:r>
        <w:rPr>
          <w:lang w:val="en-US"/>
        </w:rPr>
        <w:t xml:space="preserve"> without any restriction on the DCI reception. </w:t>
      </w:r>
    </w:p>
    <w:p w14:paraId="67F091BE" w14:textId="46599A21" w:rsidR="006F74D4" w:rsidRPr="00503A21" w:rsidRDefault="00503A21" w:rsidP="00503A21">
      <w:pPr>
        <w:pStyle w:val="ListParagraph"/>
        <w:numPr>
          <w:ilvl w:val="0"/>
          <w:numId w:val="24"/>
        </w:numPr>
        <w:jc w:val="both"/>
        <w:rPr>
          <w:rFonts w:ascii="Arial" w:hAnsi="Arial" w:cs="Arial"/>
          <w:sz w:val="22"/>
          <w:szCs w:val="22"/>
          <w:lang w:val="en-GB"/>
        </w:rPr>
      </w:pPr>
      <w:r>
        <w:t>Between point C and D, UE to receive on TCI state 0 alone, if new TCI state 0 and old TCI state 1 are not in a beam pair</w:t>
      </w:r>
      <w:r>
        <w:rPr>
          <w:lang w:val="en-US"/>
        </w:rPr>
        <w:t>.</w:t>
      </w:r>
    </w:p>
    <w:p w14:paraId="2E101988" w14:textId="44B9FF57" w:rsidR="00504172" w:rsidRPr="00DC7102" w:rsidRDefault="00504172" w:rsidP="00504172">
      <w:pPr>
        <w:pStyle w:val="Heading1"/>
        <w:ind w:right="72"/>
        <w:rPr>
          <w:rFonts w:cs="Arial"/>
          <w:lang w:val="sv-SE"/>
        </w:rPr>
      </w:pPr>
      <w:r w:rsidRPr="00DC7102">
        <w:rPr>
          <w:rFonts w:cs="Arial"/>
          <w:lang w:val="sv-SE"/>
        </w:rPr>
        <w:t>References</w:t>
      </w:r>
    </w:p>
    <w:p w14:paraId="3AB03978" w14:textId="77777777" w:rsidR="00504172" w:rsidRPr="00437A0C" w:rsidRDefault="00504172" w:rsidP="00504172">
      <w:pPr>
        <w:rPr>
          <w:lang w:eastAsia="x-none"/>
        </w:rPr>
      </w:pPr>
      <w:r w:rsidRPr="00DC7102">
        <w:rPr>
          <w:rFonts w:ascii="Arial" w:hAnsi="Arial" w:cs="Arial"/>
          <w:lang w:eastAsia="x-none"/>
        </w:rPr>
        <w:t xml:space="preserve">[1] </w:t>
      </w:r>
      <w:r w:rsidR="00092F88" w:rsidRPr="00437A0C">
        <w:rPr>
          <w:lang w:eastAsia="x-none"/>
        </w:rPr>
        <w:t>RP-221753, WI description, Requirement for NR frequency range 2 (FR2) multi-Rx chain DL reception, Qualcomm Inc., June 2022.</w:t>
      </w:r>
    </w:p>
    <w:p w14:paraId="65442294" w14:textId="603A1EE9" w:rsidR="003E5F7C" w:rsidRPr="00437A0C" w:rsidRDefault="00BB0B89" w:rsidP="003E5F7C">
      <w:pPr>
        <w:rPr>
          <w:lang w:eastAsia="x-none"/>
        </w:rPr>
      </w:pPr>
      <w:r w:rsidRPr="00437A0C">
        <w:rPr>
          <w:lang w:eastAsia="x-none"/>
        </w:rPr>
        <w:t>[2</w:t>
      </w:r>
      <w:r w:rsidR="00FA1463" w:rsidRPr="00437A0C">
        <w:rPr>
          <w:lang w:eastAsia="x-none"/>
        </w:rPr>
        <w:t>] R4-2</w:t>
      </w:r>
      <w:r w:rsidR="00642B37" w:rsidRPr="00437A0C">
        <w:rPr>
          <w:lang w:eastAsia="x-none"/>
        </w:rPr>
        <w:t>3</w:t>
      </w:r>
      <w:r w:rsidR="00992A1D" w:rsidRPr="00437A0C">
        <w:rPr>
          <w:lang w:eastAsia="x-none"/>
        </w:rPr>
        <w:t>17427</w:t>
      </w:r>
      <w:r w:rsidR="00FA1463" w:rsidRPr="00437A0C">
        <w:rPr>
          <w:lang w:eastAsia="x-none"/>
        </w:rPr>
        <w:t xml:space="preserve">, </w:t>
      </w:r>
      <w:r w:rsidR="00EF0097" w:rsidRPr="00437A0C">
        <w:rPr>
          <w:lang w:eastAsia="x-none"/>
        </w:rPr>
        <w:t>WF on NR FR2 multi-Rx chain DL reception RRM requirements (part 2)</w:t>
      </w:r>
      <w:r w:rsidR="00FA1463" w:rsidRPr="00437A0C">
        <w:rPr>
          <w:lang w:eastAsia="x-none"/>
        </w:rPr>
        <w:t xml:space="preserve">, </w:t>
      </w:r>
      <w:r w:rsidR="001D0908" w:rsidRPr="00437A0C">
        <w:rPr>
          <w:lang w:eastAsia="x-none"/>
        </w:rPr>
        <w:t>Ericsson</w:t>
      </w:r>
    </w:p>
    <w:p w14:paraId="39FF8B89" w14:textId="4255A458" w:rsidR="00C84ED5" w:rsidRPr="00437A0C" w:rsidRDefault="00C84ED5" w:rsidP="00C84ED5">
      <w:pPr>
        <w:rPr>
          <w:lang w:eastAsia="x-none"/>
        </w:rPr>
      </w:pPr>
      <w:r w:rsidRPr="00437A0C">
        <w:rPr>
          <w:lang w:eastAsia="x-none"/>
        </w:rPr>
        <w:t xml:space="preserve">[3] </w:t>
      </w:r>
      <w:r w:rsidR="001927B3" w:rsidRPr="00437A0C">
        <w:rPr>
          <w:lang w:eastAsia="x-none"/>
        </w:rPr>
        <w:t>R1-2310581</w:t>
      </w:r>
    </w:p>
    <w:p w14:paraId="2E2D44E5" w14:textId="77777777" w:rsidR="00C84ED5" w:rsidRDefault="00C84ED5" w:rsidP="003E5F7C">
      <w:pPr>
        <w:rPr>
          <w:rFonts w:ascii="Arial" w:hAnsi="Arial" w:cs="Arial"/>
          <w:lang w:eastAsia="x-none"/>
        </w:rPr>
      </w:pPr>
    </w:p>
    <w:p w14:paraId="7C40DAD3" w14:textId="77777777" w:rsidR="00C84ED5" w:rsidRPr="00DC7102" w:rsidRDefault="00C84ED5" w:rsidP="003E5F7C">
      <w:pPr>
        <w:rPr>
          <w:rFonts w:ascii="Arial" w:hAnsi="Arial" w:cs="Arial"/>
          <w:lang w:eastAsia="x-none"/>
        </w:rPr>
      </w:pPr>
    </w:p>
    <w:p w14:paraId="3EE4DD21" w14:textId="72DB9CBE" w:rsidR="00E028F6" w:rsidRPr="00DC7102" w:rsidRDefault="00E028F6" w:rsidP="00E028F6">
      <w:pPr>
        <w:rPr>
          <w:rFonts w:ascii="Arial" w:hAnsi="Arial" w:cs="Arial"/>
          <w:lang w:eastAsia="x-none"/>
        </w:rPr>
      </w:pPr>
    </w:p>
    <w:p w14:paraId="49DE5E89" w14:textId="77777777" w:rsidR="005D76AF" w:rsidRPr="00DC7102" w:rsidRDefault="005D76AF" w:rsidP="00FA1463">
      <w:pPr>
        <w:rPr>
          <w:rFonts w:ascii="Arial" w:hAnsi="Arial" w:cs="Arial"/>
          <w:lang w:eastAsia="x-none"/>
        </w:rPr>
      </w:pPr>
    </w:p>
    <w:p w14:paraId="72B6812F" w14:textId="77777777" w:rsidR="00FA1463" w:rsidRPr="00DC7102" w:rsidRDefault="00FA1463" w:rsidP="00504172">
      <w:pPr>
        <w:rPr>
          <w:rFonts w:ascii="Arial" w:hAnsi="Arial" w:cs="Arial"/>
          <w:lang w:eastAsia="x-none"/>
        </w:rPr>
      </w:pPr>
    </w:p>
    <w:sectPr w:rsidR="00FA1463" w:rsidRPr="00DC7102"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9B1C" w14:textId="77777777" w:rsidR="00E54CB7" w:rsidRDefault="00E54CB7">
      <w:r>
        <w:separator/>
      </w:r>
    </w:p>
  </w:endnote>
  <w:endnote w:type="continuationSeparator" w:id="0">
    <w:p w14:paraId="183873BA" w14:textId="77777777" w:rsidR="00E54CB7" w:rsidRDefault="00E54CB7">
      <w:r>
        <w:continuationSeparator/>
      </w:r>
    </w:p>
  </w:endnote>
  <w:endnote w:type="continuationNotice" w:id="1">
    <w:p w14:paraId="7E8C3C5F" w14:textId="77777777" w:rsidR="00E54CB7" w:rsidRDefault="00E54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696F" w14:textId="77777777" w:rsidR="00E54CB7" w:rsidRDefault="00E54CB7">
      <w:r>
        <w:separator/>
      </w:r>
    </w:p>
  </w:footnote>
  <w:footnote w:type="continuationSeparator" w:id="0">
    <w:p w14:paraId="33963B9D" w14:textId="77777777" w:rsidR="00E54CB7" w:rsidRDefault="00E54CB7">
      <w:r>
        <w:continuationSeparator/>
      </w:r>
    </w:p>
  </w:footnote>
  <w:footnote w:type="continuationNotice" w:id="1">
    <w:p w14:paraId="499F1EC9" w14:textId="77777777" w:rsidR="00E54CB7" w:rsidRDefault="00E54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5F30"/>
    <w:multiLevelType w:val="hybridMultilevel"/>
    <w:tmpl w:val="22300A78"/>
    <w:lvl w:ilvl="0" w:tplc="D98EC12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41C24"/>
    <w:multiLevelType w:val="hybridMultilevel"/>
    <w:tmpl w:val="E19C9A34"/>
    <w:lvl w:ilvl="0" w:tplc="35123F08">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DA29BD"/>
    <w:multiLevelType w:val="hybridMultilevel"/>
    <w:tmpl w:val="01F8E07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4B5FA4"/>
    <w:multiLevelType w:val="hybridMultilevel"/>
    <w:tmpl w:val="444EF7D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6"/>
  </w:num>
  <w:num w:numId="2" w16cid:durableId="811991613">
    <w:abstractNumId w:val="21"/>
  </w:num>
  <w:num w:numId="3" w16cid:durableId="2081515434">
    <w:abstractNumId w:val="20"/>
  </w:num>
  <w:num w:numId="4" w16cid:durableId="608316662">
    <w:abstractNumId w:val="11"/>
  </w:num>
  <w:num w:numId="5" w16cid:durableId="565990238">
    <w:abstractNumId w:val="13"/>
  </w:num>
  <w:num w:numId="6" w16cid:durableId="1445072825">
    <w:abstractNumId w:val="2"/>
  </w:num>
  <w:num w:numId="7" w16cid:durableId="911549053">
    <w:abstractNumId w:val="1"/>
  </w:num>
  <w:num w:numId="8" w16cid:durableId="561795706">
    <w:abstractNumId w:val="22"/>
  </w:num>
  <w:num w:numId="9" w16cid:durableId="1251429657">
    <w:abstractNumId w:val="6"/>
  </w:num>
  <w:num w:numId="10" w16cid:durableId="1729722931">
    <w:abstractNumId w:val="9"/>
  </w:num>
  <w:num w:numId="11" w16cid:durableId="1316252898">
    <w:abstractNumId w:val="12"/>
  </w:num>
  <w:num w:numId="12" w16cid:durableId="231550507">
    <w:abstractNumId w:val="8"/>
  </w:num>
  <w:num w:numId="13" w16cid:durableId="1363440722">
    <w:abstractNumId w:val="18"/>
  </w:num>
  <w:num w:numId="14" w16cid:durableId="1529222743">
    <w:abstractNumId w:val="14"/>
  </w:num>
  <w:num w:numId="15" w16cid:durableId="138153122">
    <w:abstractNumId w:val="20"/>
  </w:num>
  <w:num w:numId="16" w16cid:durableId="1851337391">
    <w:abstractNumId w:val="15"/>
  </w:num>
  <w:num w:numId="17" w16cid:durableId="1789541833">
    <w:abstractNumId w:val="14"/>
  </w:num>
  <w:num w:numId="18" w16cid:durableId="1870952215">
    <w:abstractNumId w:val="20"/>
  </w:num>
  <w:num w:numId="19" w16cid:durableId="1893998562">
    <w:abstractNumId w:val="7"/>
  </w:num>
  <w:num w:numId="20" w16cid:durableId="715156149">
    <w:abstractNumId w:val="19"/>
  </w:num>
  <w:num w:numId="21" w16cid:durableId="1434520309">
    <w:abstractNumId w:val="4"/>
  </w:num>
  <w:num w:numId="22" w16cid:durableId="1799108584">
    <w:abstractNumId w:val="17"/>
  </w:num>
  <w:num w:numId="23" w16cid:durableId="1647782235">
    <w:abstractNumId w:val="10"/>
  </w:num>
  <w:num w:numId="24" w16cid:durableId="1496070015">
    <w:abstractNumId w:val="3"/>
  </w:num>
  <w:num w:numId="25" w16cid:durableId="867764123">
    <w:abstractNumId w:val="0"/>
  </w:num>
  <w:num w:numId="26" w16cid:durableId="771124715">
    <w:abstractNumId w:val="20"/>
  </w:num>
  <w:num w:numId="27" w16cid:durableId="16199505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855"/>
    <w:rsid w:val="000569F9"/>
    <w:rsid w:val="00056BB0"/>
    <w:rsid w:val="00056F92"/>
    <w:rsid w:val="0005711A"/>
    <w:rsid w:val="000571E8"/>
    <w:rsid w:val="00057277"/>
    <w:rsid w:val="000575EA"/>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5DD"/>
    <w:rsid w:val="000A5885"/>
    <w:rsid w:val="000A5B4D"/>
    <w:rsid w:val="000A5CB5"/>
    <w:rsid w:val="000A5CBF"/>
    <w:rsid w:val="000A5D43"/>
    <w:rsid w:val="000A5E06"/>
    <w:rsid w:val="000A5FFD"/>
    <w:rsid w:val="000A6521"/>
    <w:rsid w:val="000A693A"/>
    <w:rsid w:val="000A69E9"/>
    <w:rsid w:val="000A6DC1"/>
    <w:rsid w:val="000A6E1B"/>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674"/>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773"/>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780"/>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6F3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00"/>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0C88"/>
    <w:rsid w:val="001412B9"/>
    <w:rsid w:val="00141473"/>
    <w:rsid w:val="0014156D"/>
    <w:rsid w:val="00141663"/>
    <w:rsid w:val="001416DD"/>
    <w:rsid w:val="00141911"/>
    <w:rsid w:val="00141A5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658"/>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969"/>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48FB"/>
    <w:rsid w:val="00155110"/>
    <w:rsid w:val="001551C2"/>
    <w:rsid w:val="001554CD"/>
    <w:rsid w:val="00155596"/>
    <w:rsid w:val="001555D3"/>
    <w:rsid w:val="00155919"/>
    <w:rsid w:val="00155B67"/>
    <w:rsid w:val="00155C31"/>
    <w:rsid w:val="00155C6C"/>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8AB"/>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0"/>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639"/>
    <w:rsid w:val="001878E9"/>
    <w:rsid w:val="00187908"/>
    <w:rsid w:val="00187A17"/>
    <w:rsid w:val="00187D66"/>
    <w:rsid w:val="00190668"/>
    <w:rsid w:val="00190B7A"/>
    <w:rsid w:val="00190DB9"/>
    <w:rsid w:val="001912D5"/>
    <w:rsid w:val="001920BE"/>
    <w:rsid w:val="0019238D"/>
    <w:rsid w:val="001927B3"/>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748"/>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4AA"/>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23B7"/>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2E75"/>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A4C"/>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34E"/>
    <w:rsid w:val="00266A10"/>
    <w:rsid w:val="00266C33"/>
    <w:rsid w:val="00266DF5"/>
    <w:rsid w:val="002675DD"/>
    <w:rsid w:val="00267AF0"/>
    <w:rsid w:val="00270155"/>
    <w:rsid w:val="0027034F"/>
    <w:rsid w:val="00270583"/>
    <w:rsid w:val="00270948"/>
    <w:rsid w:val="00270A05"/>
    <w:rsid w:val="00270A3E"/>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19"/>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3"/>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672D"/>
    <w:rsid w:val="002C7671"/>
    <w:rsid w:val="002C78CA"/>
    <w:rsid w:val="002C7B33"/>
    <w:rsid w:val="002C7BC9"/>
    <w:rsid w:val="002D0490"/>
    <w:rsid w:val="002D0528"/>
    <w:rsid w:val="002D071C"/>
    <w:rsid w:val="002D09A8"/>
    <w:rsid w:val="002D0A47"/>
    <w:rsid w:val="002D0D8E"/>
    <w:rsid w:val="002D0DC1"/>
    <w:rsid w:val="002D0E97"/>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5E8"/>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E7FDE"/>
    <w:rsid w:val="002F0022"/>
    <w:rsid w:val="002F02EF"/>
    <w:rsid w:val="002F0477"/>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5A"/>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AD"/>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E5D"/>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558"/>
    <w:rsid w:val="003156DF"/>
    <w:rsid w:val="003157DC"/>
    <w:rsid w:val="00315B37"/>
    <w:rsid w:val="00315BC1"/>
    <w:rsid w:val="00315CE9"/>
    <w:rsid w:val="003161AC"/>
    <w:rsid w:val="003168FC"/>
    <w:rsid w:val="00316BB3"/>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7A5"/>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B7E"/>
    <w:rsid w:val="00376D40"/>
    <w:rsid w:val="00376E40"/>
    <w:rsid w:val="0037722A"/>
    <w:rsid w:val="00377366"/>
    <w:rsid w:val="0037742D"/>
    <w:rsid w:val="0037752A"/>
    <w:rsid w:val="003778C5"/>
    <w:rsid w:val="003778F1"/>
    <w:rsid w:val="00377CC0"/>
    <w:rsid w:val="003806F2"/>
    <w:rsid w:val="00380BBA"/>
    <w:rsid w:val="00380C33"/>
    <w:rsid w:val="00380D73"/>
    <w:rsid w:val="00381492"/>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007"/>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4A34"/>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4FE"/>
    <w:rsid w:val="00414601"/>
    <w:rsid w:val="0041495C"/>
    <w:rsid w:val="00414DCA"/>
    <w:rsid w:val="004156F4"/>
    <w:rsid w:val="00415797"/>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A0C"/>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3AD"/>
    <w:rsid w:val="00445DBD"/>
    <w:rsid w:val="004461B6"/>
    <w:rsid w:val="004461B8"/>
    <w:rsid w:val="00446C1F"/>
    <w:rsid w:val="00446E93"/>
    <w:rsid w:val="004471B7"/>
    <w:rsid w:val="00447D76"/>
    <w:rsid w:val="00447D9B"/>
    <w:rsid w:val="0045017E"/>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1BAD"/>
    <w:rsid w:val="00472354"/>
    <w:rsid w:val="004724E2"/>
    <w:rsid w:val="0047269E"/>
    <w:rsid w:val="00472AAE"/>
    <w:rsid w:val="00472B68"/>
    <w:rsid w:val="00472F1B"/>
    <w:rsid w:val="0047306D"/>
    <w:rsid w:val="0047328E"/>
    <w:rsid w:val="004736EA"/>
    <w:rsid w:val="00473CB1"/>
    <w:rsid w:val="00473EBD"/>
    <w:rsid w:val="00474865"/>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0A9"/>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7D8"/>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63"/>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7B4"/>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3A21"/>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35B"/>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C77"/>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782"/>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1EF0"/>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C34"/>
    <w:rsid w:val="00584EE9"/>
    <w:rsid w:val="00585FE5"/>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BF9"/>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4D3"/>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034"/>
    <w:rsid w:val="005B570D"/>
    <w:rsid w:val="005B6078"/>
    <w:rsid w:val="005B6086"/>
    <w:rsid w:val="005B620D"/>
    <w:rsid w:val="005B62E4"/>
    <w:rsid w:val="005B6369"/>
    <w:rsid w:val="005B643A"/>
    <w:rsid w:val="005B6554"/>
    <w:rsid w:val="005B751D"/>
    <w:rsid w:val="005C0049"/>
    <w:rsid w:val="005C007A"/>
    <w:rsid w:val="005C02DF"/>
    <w:rsid w:val="005C0BF4"/>
    <w:rsid w:val="005C17A6"/>
    <w:rsid w:val="005C17C2"/>
    <w:rsid w:val="005C1B94"/>
    <w:rsid w:val="005C1CC8"/>
    <w:rsid w:val="005C1E62"/>
    <w:rsid w:val="005C20B9"/>
    <w:rsid w:val="005C2260"/>
    <w:rsid w:val="005C28B3"/>
    <w:rsid w:val="005C30E7"/>
    <w:rsid w:val="005C3AB3"/>
    <w:rsid w:val="005C3B5C"/>
    <w:rsid w:val="005C3C16"/>
    <w:rsid w:val="005C4308"/>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A6B"/>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91B"/>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22B"/>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4E4"/>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7C6"/>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BD5"/>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0DA1"/>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D7"/>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6E8A"/>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89"/>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4"/>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4BF"/>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03E"/>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8F4"/>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CC2"/>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933"/>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95B"/>
    <w:rsid w:val="00831C84"/>
    <w:rsid w:val="00831CC2"/>
    <w:rsid w:val="00831F79"/>
    <w:rsid w:val="008320CF"/>
    <w:rsid w:val="00832353"/>
    <w:rsid w:val="00832ADA"/>
    <w:rsid w:val="00832D89"/>
    <w:rsid w:val="00833343"/>
    <w:rsid w:val="00833478"/>
    <w:rsid w:val="00833777"/>
    <w:rsid w:val="008338B5"/>
    <w:rsid w:val="00833AB4"/>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1D8F"/>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A8B"/>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1C2"/>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397"/>
    <w:rsid w:val="008C0EC8"/>
    <w:rsid w:val="008C1056"/>
    <w:rsid w:val="008C1197"/>
    <w:rsid w:val="008C2112"/>
    <w:rsid w:val="008C2165"/>
    <w:rsid w:val="008C27F4"/>
    <w:rsid w:val="008C28DC"/>
    <w:rsid w:val="008C2904"/>
    <w:rsid w:val="008C2C27"/>
    <w:rsid w:val="008C3050"/>
    <w:rsid w:val="008C3173"/>
    <w:rsid w:val="008C3A68"/>
    <w:rsid w:val="008C3D7F"/>
    <w:rsid w:val="008C3D87"/>
    <w:rsid w:val="008C4B83"/>
    <w:rsid w:val="008C50A5"/>
    <w:rsid w:val="008C50E6"/>
    <w:rsid w:val="008C54F6"/>
    <w:rsid w:val="008C57A2"/>
    <w:rsid w:val="008C5C61"/>
    <w:rsid w:val="008C60A0"/>
    <w:rsid w:val="008C60B2"/>
    <w:rsid w:val="008C6127"/>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02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6586"/>
    <w:rsid w:val="009269EE"/>
    <w:rsid w:val="00926CDD"/>
    <w:rsid w:val="00926ED5"/>
    <w:rsid w:val="009273C7"/>
    <w:rsid w:val="0092775D"/>
    <w:rsid w:val="0092778C"/>
    <w:rsid w:val="00927ECE"/>
    <w:rsid w:val="00930271"/>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15B"/>
    <w:rsid w:val="0093738C"/>
    <w:rsid w:val="00937BF4"/>
    <w:rsid w:val="00937DB3"/>
    <w:rsid w:val="00937E56"/>
    <w:rsid w:val="0094005E"/>
    <w:rsid w:val="009407B5"/>
    <w:rsid w:val="00940957"/>
    <w:rsid w:val="0094152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47A37"/>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2A1D"/>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6C4"/>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DF2"/>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EEC"/>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1FC9"/>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260"/>
    <w:rsid w:val="00A71708"/>
    <w:rsid w:val="00A71B0B"/>
    <w:rsid w:val="00A724B3"/>
    <w:rsid w:val="00A7252D"/>
    <w:rsid w:val="00A72710"/>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6F1"/>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A63"/>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A9D"/>
    <w:rsid w:val="00AA7D8A"/>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0BE"/>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7C2"/>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A61"/>
    <w:rsid w:val="00AF0E90"/>
    <w:rsid w:val="00AF1458"/>
    <w:rsid w:val="00AF15AC"/>
    <w:rsid w:val="00AF19F4"/>
    <w:rsid w:val="00AF1A08"/>
    <w:rsid w:val="00AF1B3F"/>
    <w:rsid w:val="00AF1F9B"/>
    <w:rsid w:val="00AF217B"/>
    <w:rsid w:val="00AF2210"/>
    <w:rsid w:val="00AF249A"/>
    <w:rsid w:val="00AF292A"/>
    <w:rsid w:val="00AF2B9C"/>
    <w:rsid w:val="00AF3376"/>
    <w:rsid w:val="00AF35A3"/>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3FED"/>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23"/>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C2"/>
    <w:rsid w:val="00B83EF9"/>
    <w:rsid w:val="00B83FA3"/>
    <w:rsid w:val="00B840C0"/>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C1C"/>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283"/>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1A6"/>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DB"/>
    <w:rsid w:val="00BF65F0"/>
    <w:rsid w:val="00BF703E"/>
    <w:rsid w:val="00BF70B5"/>
    <w:rsid w:val="00BF711C"/>
    <w:rsid w:val="00BF71E9"/>
    <w:rsid w:val="00BF7671"/>
    <w:rsid w:val="00BF7B03"/>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914"/>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149"/>
    <w:rsid w:val="00C272DD"/>
    <w:rsid w:val="00C30186"/>
    <w:rsid w:val="00C3030C"/>
    <w:rsid w:val="00C303EF"/>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651"/>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3F8D"/>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9CA"/>
    <w:rsid w:val="00C80F07"/>
    <w:rsid w:val="00C810FF"/>
    <w:rsid w:val="00C81495"/>
    <w:rsid w:val="00C81528"/>
    <w:rsid w:val="00C81644"/>
    <w:rsid w:val="00C81699"/>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4ED5"/>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647"/>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2C6"/>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28"/>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CA"/>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D24"/>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8C4"/>
    <w:rsid w:val="00D04AFA"/>
    <w:rsid w:val="00D04DBD"/>
    <w:rsid w:val="00D0512B"/>
    <w:rsid w:val="00D0540C"/>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8F2"/>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3C1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CA"/>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3D5"/>
    <w:rsid w:val="00D71633"/>
    <w:rsid w:val="00D716EE"/>
    <w:rsid w:val="00D7190D"/>
    <w:rsid w:val="00D71F2F"/>
    <w:rsid w:val="00D72360"/>
    <w:rsid w:val="00D724E2"/>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3A2"/>
    <w:rsid w:val="00DC5A3F"/>
    <w:rsid w:val="00DC5E05"/>
    <w:rsid w:val="00DC600A"/>
    <w:rsid w:val="00DC6355"/>
    <w:rsid w:val="00DC65FC"/>
    <w:rsid w:val="00DC695D"/>
    <w:rsid w:val="00DC6C0E"/>
    <w:rsid w:val="00DC6F8D"/>
    <w:rsid w:val="00DC7102"/>
    <w:rsid w:val="00DC71EB"/>
    <w:rsid w:val="00DC73C6"/>
    <w:rsid w:val="00DC7462"/>
    <w:rsid w:val="00DC75B3"/>
    <w:rsid w:val="00DD02C8"/>
    <w:rsid w:val="00DD02FE"/>
    <w:rsid w:val="00DD0F52"/>
    <w:rsid w:val="00DD1010"/>
    <w:rsid w:val="00DD10F3"/>
    <w:rsid w:val="00DD179D"/>
    <w:rsid w:val="00DD1BC8"/>
    <w:rsid w:val="00DD1E43"/>
    <w:rsid w:val="00DD1E44"/>
    <w:rsid w:val="00DD1F82"/>
    <w:rsid w:val="00DD2411"/>
    <w:rsid w:val="00DD24D7"/>
    <w:rsid w:val="00DD320A"/>
    <w:rsid w:val="00DD35F4"/>
    <w:rsid w:val="00DD3696"/>
    <w:rsid w:val="00DD37AC"/>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A93"/>
    <w:rsid w:val="00DE24DF"/>
    <w:rsid w:val="00DE24E5"/>
    <w:rsid w:val="00DE27FC"/>
    <w:rsid w:val="00DE292A"/>
    <w:rsid w:val="00DE2AF7"/>
    <w:rsid w:val="00DE2E22"/>
    <w:rsid w:val="00DE31E4"/>
    <w:rsid w:val="00DE32B6"/>
    <w:rsid w:val="00DE33A3"/>
    <w:rsid w:val="00DE378B"/>
    <w:rsid w:val="00DE3A54"/>
    <w:rsid w:val="00DE4020"/>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5EF"/>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7A9"/>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7D7"/>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CB7"/>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81A"/>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592"/>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962"/>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8A"/>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8C1"/>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C8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4F4"/>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57874"/>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58E"/>
    <w:rsid w:val="00F666B1"/>
    <w:rsid w:val="00F669D3"/>
    <w:rsid w:val="00F66BBF"/>
    <w:rsid w:val="00F66D81"/>
    <w:rsid w:val="00F67750"/>
    <w:rsid w:val="00F67A43"/>
    <w:rsid w:val="00F67B5F"/>
    <w:rsid w:val="00F67EE2"/>
    <w:rsid w:val="00F67F30"/>
    <w:rsid w:val="00F70144"/>
    <w:rsid w:val="00F701C7"/>
    <w:rsid w:val="00F70586"/>
    <w:rsid w:val="00F70797"/>
    <w:rsid w:val="00F70C4A"/>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64"/>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202"/>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56"/>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2E7B"/>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3BD"/>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74EBAC12-D2E9-4FF2-80A5-34ABF95B8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sharepoint/v3"/>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9b239327-9e80-40e4-b1b7-4394fed77a33"/>
    <ds:schemaRef ds:uri="d8762117-8292-4133-b1c7-eab5c6487cfd"/>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7485</TotalTime>
  <Pages>2</Pages>
  <Words>517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968</cp:revision>
  <cp:lastPrinted>2010-10-04T14:58:00Z</cp:lastPrinted>
  <dcterms:created xsi:type="dcterms:W3CDTF">2022-08-12T14:20:00Z</dcterms:created>
  <dcterms:modified xsi:type="dcterms:W3CDTF">2024-02-19T22:32:00Z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